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99" w:rsidRPr="006E1339" w:rsidRDefault="00DF2135" w:rsidP="002078D4">
      <w:pPr>
        <w:jc w:val="center"/>
        <w:rPr>
          <w:rFonts w:ascii="Arial" w:hAnsi="Arial" w:cs="Arial"/>
          <w:b/>
          <w:sz w:val="22"/>
          <w:szCs w:val="22"/>
        </w:rPr>
      </w:pPr>
      <w:bookmarkStart w:id="0" w:name="_GoBack"/>
      <w:bookmarkEnd w:id="0"/>
      <w:r>
        <w:rPr>
          <w:rFonts w:ascii="Arial" w:hAnsi="Arial" w:cs="Arial"/>
          <w:b/>
          <w:sz w:val="22"/>
          <w:szCs w:val="22"/>
        </w:rPr>
        <w:t>INSTRUCTIONS FOR G4011</w:t>
      </w:r>
      <w:r w:rsidR="00325F99">
        <w:rPr>
          <w:rFonts w:ascii="Arial" w:hAnsi="Arial" w:cs="Arial"/>
          <w:b/>
          <w:sz w:val="22"/>
          <w:szCs w:val="22"/>
        </w:rPr>
        <w:t>, LOI</w:t>
      </w:r>
    </w:p>
    <w:p w:rsidR="00325F99" w:rsidRDefault="00325F99" w:rsidP="006E1339">
      <w:pPr>
        <w:rPr>
          <w:rFonts w:ascii="Arial" w:hAnsi="Arial" w:cs="Arial"/>
          <w:sz w:val="22"/>
          <w:szCs w:val="22"/>
        </w:rPr>
      </w:pPr>
    </w:p>
    <w:p w:rsidR="00325F99" w:rsidRPr="008D401A" w:rsidRDefault="00325F99" w:rsidP="006E1339">
      <w:pPr>
        <w:rPr>
          <w:rFonts w:ascii="Arial" w:hAnsi="Arial" w:cs="Arial"/>
          <w:b/>
          <w:sz w:val="22"/>
          <w:szCs w:val="22"/>
        </w:rPr>
      </w:pPr>
      <w:r w:rsidRPr="008D401A">
        <w:rPr>
          <w:rFonts w:ascii="Arial" w:hAnsi="Arial" w:cs="Arial"/>
          <w:b/>
          <w:sz w:val="22"/>
          <w:szCs w:val="22"/>
        </w:rPr>
        <w:t>General Comments</w:t>
      </w:r>
    </w:p>
    <w:p w:rsidR="00325F99" w:rsidRDefault="00DF2135" w:rsidP="006E1339">
      <w:pPr>
        <w:rPr>
          <w:rFonts w:ascii="Arial" w:hAnsi="Arial" w:cs="Arial"/>
          <w:sz w:val="22"/>
          <w:szCs w:val="22"/>
        </w:rPr>
      </w:pPr>
      <w:r>
        <w:rPr>
          <w:rFonts w:ascii="Arial" w:hAnsi="Arial" w:cs="Arial"/>
          <w:sz w:val="22"/>
          <w:szCs w:val="22"/>
        </w:rPr>
        <w:t>G4011</w:t>
      </w:r>
      <w:r w:rsidR="00325F99">
        <w:rPr>
          <w:rFonts w:ascii="Arial" w:hAnsi="Arial" w:cs="Arial"/>
          <w:sz w:val="22"/>
          <w:szCs w:val="22"/>
        </w:rPr>
        <w:t xml:space="preserve"> (LOI) is a flexible document that is intended to outline the commercial terms of an agreement.  The LOI has only a small amount of legal content, but refers the parties to the purchase agreement for legal definition.  You can easily go from the LOI to a purchase agreement, either the GABB Offer and Agreement to Purchase the Assets of a Business (Purchase Agreement) or an attorney can draft a purchase agreement.  Some agents, if the offer is going to be close to the asking price, bypass the LOI and go directly to the Purchase Agreement.</w:t>
      </w:r>
    </w:p>
    <w:p w:rsidR="00325F99" w:rsidRDefault="00325F99" w:rsidP="006E1339">
      <w:pPr>
        <w:rPr>
          <w:rFonts w:ascii="Arial" w:hAnsi="Arial" w:cs="Arial"/>
          <w:sz w:val="22"/>
          <w:szCs w:val="22"/>
        </w:rPr>
      </w:pPr>
    </w:p>
    <w:p w:rsidR="00325F99" w:rsidRDefault="00325F99" w:rsidP="00AC3424">
      <w:pPr>
        <w:rPr>
          <w:rFonts w:ascii="Arial" w:hAnsi="Arial" w:cs="Arial"/>
          <w:sz w:val="22"/>
          <w:szCs w:val="22"/>
        </w:rPr>
      </w:pPr>
      <w:r>
        <w:rPr>
          <w:rFonts w:ascii="Arial" w:hAnsi="Arial" w:cs="Arial"/>
          <w:sz w:val="22"/>
          <w:szCs w:val="22"/>
        </w:rPr>
        <w:t>As with any forms, the LOI has limitations.  The text is write-protected with blanks to fill in</w:t>
      </w:r>
      <w:r w:rsidRPr="008B066A">
        <w:rPr>
          <w:rFonts w:ascii="Arial" w:hAnsi="Arial" w:cs="Arial"/>
          <w:sz w:val="22"/>
          <w:szCs w:val="22"/>
        </w:rPr>
        <w:t xml:space="preserve"> </w:t>
      </w:r>
      <w:r>
        <w:rPr>
          <w:rFonts w:ascii="Arial" w:hAnsi="Arial" w:cs="Arial"/>
          <w:sz w:val="22"/>
          <w:szCs w:val="22"/>
        </w:rPr>
        <w:t xml:space="preserve">because the LOI has legal references </w:t>
      </w:r>
      <w:r w:rsidR="00DF2135">
        <w:rPr>
          <w:rFonts w:ascii="Arial" w:hAnsi="Arial" w:cs="Arial"/>
          <w:sz w:val="22"/>
          <w:szCs w:val="22"/>
        </w:rPr>
        <w:t>that</w:t>
      </w:r>
      <w:r>
        <w:rPr>
          <w:rFonts w:ascii="Arial" w:hAnsi="Arial" w:cs="Arial"/>
          <w:sz w:val="22"/>
          <w:szCs w:val="22"/>
        </w:rPr>
        <w:t xml:space="preserve"> should not be altered.  We have provided space under Special Stipulations where we hope the parties can have some flexibility.</w:t>
      </w:r>
    </w:p>
    <w:p w:rsidR="00325F99" w:rsidRDefault="00325F99" w:rsidP="00AC3424">
      <w:pPr>
        <w:rPr>
          <w:rFonts w:ascii="Arial" w:hAnsi="Arial" w:cs="Arial"/>
          <w:sz w:val="22"/>
          <w:szCs w:val="22"/>
        </w:rPr>
      </w:pPr>
    </w:p>
    <w:p w:rsidR="00325F99" w:rsidRPr="008B066A" w:rsidRDefault="00325F99" w:rsidP="00AC3424">
      <w:pPr>
        <w:rPr>
          <w:rFonts w:ascii="Arial" w:hAnsi="Arial" w:cs="Arial"/>
          <w:b/>
          <w:sz w:val="22"/>
          <w:szCs w:val="22"/>
        </w:rPr>
      </w:pPr>
      <w:r w:rsidRPr="008B066A">
        <w:rPr>
          <w:rFonts w:ascii="Arial" w:hAnsi="Arial" w:cs="Arial"/>
          <w:b/>
          <w:sz w:val="22"/>
          <w:szCs w:val="22"/>
        </w:rPr>
        <w:t>Why use the LOI</w:t>
      </w:r>
    </w:p>
    <w:p w:rsidR="00325F99" w:rsidRDefault="00325F99" w:rsidP="004F4F2C">
      <w:pPr>
        <w:numPr>
          <w:ilvl w:val="0"/>
          <w:numId w:val="12"/>
        </w:numPr>
        <w:rPr>
          <w:rFonts w:ascii="Arial" w:hAnsi="Arial" w:cs="Arial"/>
          <w:sz w:val="22"/>
          <w:szCs w:val="22"/>
        </w:rPr>
      </w:pPr>
      <w:r>
        <w:rPr>
          <w:rFonts w:ascii="Arial" w:hAnsi="Arial" w:cs="Arial"/>
          <w:sz w:val="22"/>
          <w:szCs w:val="22"/>
        </w:rPr>
        <w:t>Easy to use</w:t>
      </w:r>
    </w:p>
    <w:p w:rsidR="00325F99" w:rsidRDefault="00325F99" w:rsidP="004F4F2C">
      <w:pPr>
        <w:numPr>
          <w:ilvl w:val="0"/>
          <w:numId w:val="12"/>
        </w:numPr>
        <w:rPr>
          <w:rFonts w:ascii="Arial" w:hAnsi="Arial" w:cs="Arial"/>
          <w:sz w:val="22"/>
          <w:szCs w:val="22"/>
        </w:rPr>
      </w:pPr>
      <w:r>
        <w:rPr>
          <w:rFonts w:ascii="Arial" w:hAnsi="Arial" w:cs="Arial"/>
          <w:sz w:val="22"/>
          <w:szCs w:val="22"/>
        </w:rPr>
        <w:t>Easy mentally for someone to sign</w:t>
      </w:r>
    </w:p>
    <w:p w:rsidR="00325F99" w:rsidRDefault="00325F99" w:rsidP="004F4F2C">
      <w:pPr>
        <w:numPr>
          <w:ilvl w:val="0"/>
          <w:numId w:val="12"/>
        </w:numPr>
        <w:rPr>
          <w:rFonts w:ascii="Arial" w:hAnsi="Arial" w:cs="Arial"/>
          <w:sz w:val="22"/>
          <w:szCs w:val="22"/>
        </w:rPr>
      </w:pPr>
      <w:r>
        <w:rPr>
          <w:rFonts w:ascii="Arial" w:hAnsi="Arial" w:cs="Arial"/>
          <w:sz w:val="22"/>
          <w:szCs w:val="22"/>
        </w:rPr>
        <w:t>Consolidates the facts into one document</w:t>
      </w:r>
    </w:p>
    <w:p w:rsidR="00325F99" w:rsidRDefault="00325F99" w:rsidP="004F4F2C">
      <w:pPr>
        <w:numPr>
          <w:ilvl w:val="0"/>
          <w:numId w:val="12"/>
        </w:numPr>
        <w:rPr>
          <w:rFonts w:ascii="Arial" w:hAnsi="Arial" w:cs="Arial"/>
          <w:sz w:val="22"/>
          <w:szCs w:val="22"/>
        </w:rPr>
      </w:pPr>
      <w:r>
        <w:rPr>
          <w:rFonts w:ascii="Arial" w:hAnsi="Arial" w:cs="Arial"/>
          <w:sz w:val="22"/>
          <w:szCs w:val="22"/>
        </w:rPr>
        <w:t>Causes each party to think through the deal before going to contract – better chance of closing</w:t>
      </w:r>
    </w:p>
    <w:p w:rsidR="00325F99" w:rsidRDefault="00325F99" w:rsidP="004F4F2C">
      <w:pPr>
        <w:numPr>
          <w:ilvl w:val="0"/>
          <w:numId w:val="12"/>
        </w:numPr>
        <w:rPr>
          <w:rFonts w:ascii="Arial" w:hAnsi="Arial" w:cs="Arial"/>
          <w:sz w:val="22"/>
          <w:szCs w:val="22"/>
        </w:rPr>
      </w:pPr>
      <w:r>
        <w:rPr>
          <w:rFonts w:ascii="Arial" w:hAnsi="Arial" w:cs="Arial"/>
          <w:sz w:val="22"/>
          <w:szCs w:val="22"/>
        </w:rPr>
        <w:t>Defines the Commercial Terms</w:t>
      </w:r>
    </w:p>
    <w:p w:rsidR="00325F99" w:rsidRDefault="00325F99" w:rsidP="004F4F2C">
      <w:pPr>
        <w:numPr>
          <w:ilvl w:val="0"/>
          <w:numId w:val="12"/>
        </w:numPr>
        <w:rPr>
          <w:rFonts w:ascii="Arial" w:hAnsi="Arial" w:cs="Arial"/>
          <w:sz w:val="22"/>
          <w:szCs w:val="22"/>
        </w:rPr>
      </w:pPr>
      <w:r>
        <w:rPr>
          <w:rFonts w:ascii="Arial" w:hAnsi="Arial" w:cs="Arial"/>
          <w:sz w:val="22"/>
          <w:szCs w:val="22"/>
        </w:rPr>
        <w:t>Defines some of the content the Purchase Agreement must have.</w:t>
      </w:r>
    </w:p>
    <w:p w:rsidR="00325F99" w:rsidRDefault="00325F99" w:rsidP="00AC3424">
      <w:pPr>
        <w:rPr>
          <w:rFonts w:ascii="Arial" w:hAnsi="Arial" w:cs="Arial"/>
          <w:sz w:val="22"/>
          <w:szCs w:val="22"/>
        </w:rPr>
      </w:pPr>
    </w:p>
    <w:p w:rsidR="00325F99" w:rsidRPr="002F783F" w:rsidRDefault="00325F99" w:rsidP="00AC3424">
      <w:pPr>
        <w:rPr>
          <w:rFonts w:ascii="Arial" w:hAnsi="Arial" w:cs="Arial"/>
          <w:b/>
          <w:sz w:val="22"/>
          <w:szCs w:val="22"/>
        </w:rPr>
      </w:pPr>
      <w:r w:rsidRPr="002F783F">
        <w:rPr>
          <w:rFonts w:ascii="Arial" w:hAnsi="Arial" w:cs="Arial"/>
          <w:b/>
          <w:sz w:val="22"/>
          <w:szCs w:val="22"/>
        </w:rPr>
        <w:t>Explaining a few sections</w:t>
      </w:r>
    </w:p>
    <w:p w:rsidR="00325F99" w:rsidRDefault="00325F99" w:rsidP="00AC3424">
      <w:pPr>
        <w:rPr>
          <w:rFonts w:ascii="Arial" w:hAnsi="Arial" w:cs="Arial"/>
          <w:sz w:val="22"/>
          <w:szCs w:val="22"/>
        </w:rPr>
      </w:pPr>
      <w:r w:rsidRPr="002078D4">
        <w:rPr>
          <w:rFonts w:ascii="Arial" w:hAnsi="Arial" w:cs="Arial"/>
          <w:b/>
          <w:sz w:val="22"/>
          <w:szCs w:val="22"/>
        </w:rPr>
        <w:t>First Blanks at top of P1</w:t>
      </w:r>
      <w:r>
        <w:rPr>
          <w:rFonts w:ascii="Arial" w:hAnsi="Arial" w:cs="Arial"/>
          <w:sz w:val="22"/>
          <w:szCs w:val="22"/>
        </w:rPr>
        <w:t xml:space="preserve"> - The LOI is basically a letter from the Buyer to the Seller.  The table at the top of the LOI is intended to have the buyer’s name and address similar to the letterhead a person might have.  If there is no Buyer Company, leave the line blank or write in NA.</w:t>
      </w:r>
    </w:p>
    <w:p w:rsidR="00325F99" w:rsidRDefault="00325F99" w:rsidP="00AC3424">
      <w:pPr>
        <w:rPr>
          <w:rFonts w:ascii="Arial" w:hAnsi="Arial" w:cs="Arial"/>
          <w:sz w:val="22"/>
          <w:szCs w:val="22"/>
        </w:rPr>
      </w:pPr>
    </w:p>
    <w:p w:rsidR="00325F99" w:rsidRDefault="00325F99" w:rsidP="00AC3424">
      <w:pPr>
        <w:rPr>
          <w:rFonts w:ascii="Arial" w:hAnsi="Arial" w:cs="Arial"/>
          <w:sz w:val="22"/>
          <w:szCs w:val="22"/>
        </w:rPr>
      </w:pPr>
      <w:r w:rsidRPr="00800ED8">
        <w:rPr>
          <w:rFonts w:ascii="Arial" w:hAnsi="Arial" w:cs="Arial"/>
          <w:b/>
          <w:i/>
          <w:sz w:val="22"/>
          <w:szCs w:val="22"/>
        </w:rPr>
        <w:t>Paragraph 7</w:t>
      </w:r>
      <w:r>
        <w:rPr>
          <w:rFonts w:ascii="Arial" w:hAnsi="Arial" w:cs="Arial"/>
          <w:sz w:val="22"/>
          <w:szCs w:val="22"/>
        </w:rPr>
        <w:t xml:space="preserve"> – Due Diligence – The parties should have time to investigate each other.  You may set the date to be prior to entering into the Purchase Agreement, or set it after entering into the Purchase Agreement and let the Purchase Agreement further define the due diligence.</w:t>
      </w:r>
    </w:p>
    <w:p w:rsidR="00325F99" w:rsidRDefault="00325F99" w:rsidP="00AC3424">
      <w:pPr>
        <w:rPr>
          <w:rFonts w:ascii="Arial" w:hAnsi="Arial" w:cs="Arial"/>
          <w:sz w:val="22"/>
          <w:szCs w:val="22"/>
        </w:rPr>
      </w:pPr>
    </w:p>
    <w:p w:rsidR="00325F99" w:rsidRDefault="00325F99" w:rsidP="00AC3424">
      <w:pPr>
        <w:rPr>
          <w:rFonts w:ascii="Arial" w:hAnsi="Arial" w:cs="Arial"/>
          <w:sz w:val="22"/>
          <w:szCs w:val="22"/>
        </w:rPr>
      </w:pPr>
      <w:r w:rsidRPr="00800ED8">
        <w:rPr>
          <w:rFonts w:ascii="Arial" w:hAnsi="Arial" w:cs="Arial"/>
          <w:b/>
          <w:i/>
          <w:sz w:val="22"/>
          <w:szCs w:val="22"/>
        </w:rPr>
        <w:t>Paragraph 12</w:t>
      </w:r>
      <w:r>
        <w:rPr>
          <w:rFonts w:ascii="Arial" w:hAnsi="Arial" w:cs="Arial"/>
          <w:sz w:val="22"/>
          <w:szCs w:val="22"/>
        </w:rPr>
        <w:t xml:space="preserve"> – Definitive Purchase Agreement – You may choose if you wish to use the GABB Purchase Agreement form yourself, have an attorney generate the GABB Purchase Agreement, or have an attorney generate his own purchase agreement.  We of course encourage the use of the GABB Purchase Agreement and would like to see other attorneys adopt it.  If more attorneys become familiar with the Purchase Agreement, legal costs should be reduced.</w:t>
      </w:r>
    </w:p>
    <w:p w:rsidR="00325F99" w:rsidRDefault="00325F99" w:rsidP="00AC3424">
      <w:pPr>
        <w:rPr>
          <w:rFonts w:ascii="Arial" w:hAnsi="Arial" w:cs="Arial"/>
          <w:sz w:val="22"/>
          <w:szCs w:val="22"/>
        </w:rPr>
      </w:pPr>
    </w:p>
    <w:p w:rsidR="00325F99" w:rsidRPr="00A7055D" w:rsidRDefault="00325F99" w:rsidP="00AC3424">
      <w:pPr>
        <w:rPr>
          <w:rFonts w:ascii="Arial" w:hAnsi="Arial" w:cs="Arial"/>
          <w:sz w:val="22"/>
          <w:szCs w:val="22"/>
        </w:rPr>
      </w:pPr>
      <w:r w:rsidRPr="00A7055D">
        <w:rPr>
          <w:rFonts w:ascii="Arial" w:hAnsi="Arial" w:cs="Arial"/>
          <w:b/>
          <w:i/>
          <w:sz w:val="22"/>
          <w:szCs w:val="22"/>
        </w:rPr>
        <w:t>Paragraph 13 –</w:t>
      </w:r>
      <w:r w:rsidRPr="00A7055D">
        <w:rPr>
          <w:rFonts w:ascii="Arial" w:hAnsi="Arial" w:cs="Arial"/>
          <w:i/>
          <w:sz w:val="22"/>
          <w:szCs w:val="22"/>
        </w:rPr>
        <w:t xml:space="preserve"> </w:t>
      </w:r>
      <w:r w:rsidRPr="00A7055D">
        <w:rPr>
          <w:rFonts w:ascii="Arial" w:hAnsi="Arial" w:cs="Arial"/>
          <w:sz w:val="22"/>
          <w:szCs w:val="22"/>
        </w:rPr>
        <w:t>Brokers</w:t>
      </w:r>
      <w:r w:rsidRPr="00A7055D">
        <w:rPr>
          <w:rFonts w:ascii="Arial" w:hAnsi="Arial" w:cs="Arial"/>
          <w:i/>
          <w:sz w:val="22"/>
          <w:szCs w:val="22"/>
        </w:rPr>
        <w:t xml:space="preserve"> </w:t>
      </w:r>
      <w:r>
        <w:rPr>
          <w:rFonts w:ascii="Arial" w:hAnsi="Arial" w:cs="Arial"/>
          <w:i/>
          <w:sz w:val="22"/>
          <w:szCs w:val="22"/>
        </w:rPr>
        <w:t>–</w:t>
      </w:r>
      <w:r w:rsidRPr="00A7055D">
        <w:rPr>
          <w:rFonts w:ascii="Arial" w:hAnsi="Arial" w:cs="Arial"/>
          <w:i/>
          <w:sz w:val="22"/>
          <w:szCs w:val="22"/>
        </w:rPr>
        <w:t xml:space="preserve"> </w:t>
      </w:r>
      <w:r w:rsidRPr="00A7055D">
        <w:rPr>
          <w:rFonts w:ascii="Arial" w:hAnsi="Arial" w:cs="Arial"/>
          <w:sz w:val="22"/>
          <w:szCs w:val="22"/>
        </w:rPr>
        <w:t>You will notice</w:t>
      </w:r>
      <w:r>
        <w:rPr>
          <w:rFonts w:ascii="Arial" w:hAnsi="Arial" w:cs="Arial"/>
          <w:sz w:val="22"/>
          <w:szCs w:val="22"/>
        </w:rPr>
        <w:t xml:space="preserve"> a statement regarding the broker’s disclosure of third party fees, which says, “</w:t>
      </w:r>
      <w:r w:rsidRPr="00A7055D">
        <w:rPr>
          <w:rFonts w:ascii="Arial" w:hAnsi="Arial" w:cs="Arial"/>
          <w:sz w:val="22"/>
          <w:szCs w:val="22"/>
        </w:rPr>
        <w:t>Moreover, Broker(s) may receive a commission, rebate, fee or other compensation for assisting in procuring leases, financing, insurance or other services on behalf of Buyer and/or Seller</w:t>
      </w:r>
      <w:r>
        <w:rPr>
          <w:rFonts w:ascii="Arial" w:hAnsi="Arial" w:cs="Arial"/>
          <w:sz w:val="22"/>
          <w:szCs w:val="22"/>
        </w:rPr>
        <w:t xml:space="preserve">”.  The Real Estate Commission states that brokers should reveal third party commissions at the LOI, but as a practical matter brokers probably do not know the third party fees at this time.  The GABB Asset Purchase Agreement will require more specific definition.  If you do not use the GABB Asset Purchase Agreement, you might want to make sure you have properly disclosed </w:t>
      </w:r>
      <w:r>
        <w:rPr>
          <w:rFonts w:ascii="Arial" w:hAnsi="Arial" w:cs="Arial"/>
          <w:sz w:val="22"/>
          <w:szCs w:val="22"/>
        </w:rPr>
        <w:lastRenderedPageBreak/>
        <w:t>any outside fees (if any) you might be receiving, either by disclosing in the Purchase Agreement or by separate notification.</w:t>
      </w:r>
    </w:p>
    <w:p w:rsidR="00325F99" w:rsidRDefault="00325F99" w:rsidP="006E1339">
      <w:pPr>
        <w:rPr>
          <w:rFonts w:ascii="Arial" w:hAnsi="Arial" w:cs="Arial"/>
          <w:sz w:val="22"/>
          <w:szCs w:val="22"/>
        </w:rPr>
      </w:pPr>
    </w:p>
    <w:p w:rsidR="00325F99" w:rsidRDefault="00325F99" w:rsidP="006E1339">
      <w:pPr>
        <w:rPr>
          <w:rFonts w:ascii="Arial" w:hAnsi="Arial" w:cs="Arial"/>
          <w:sz w:val="22"/>
          <w:szCs w:val="22"/>
        </w:rPr>
      </w:pPr>
    </w:p>
    <w:p w:rsidR="00325F99" w:rsidRDefault="00325F99" w:rsidP="006E1339">
      <w:pPr>
        <w:rPr>
          <w:rFonts w:ascii="Arial" w:hAnsi="Arial" w:cs="Arial"/>
          <w:sz w:val="22"/>
          <w:szCs w:val="22"/>
        </w:rPr>
      </w:pPr>
    </w:p>
    <w:p w:rsidR="00325F99" w:rsidRDefault="00325F99" w:rsidP="006E1339">
      <w:pPr>
        <w:rPr>
          <w:rFonts w:ascii="Arial" w:hAnsi="Arial" w:cs="Arial"/>
          <w:sz w:val="22"/>
          <w:szCs w:val="22"/>
        </w:rPr>
      </w:pPr>
      <w:r>
        <w:rPr>
          <w:rFonts w:ascii="Arial" w:hAnsi="Arial" w:cs="Arial"/>
          <w:sz w:val="22"/>
          <w:szCs w:val="22"/>
        </w:rPr>
        <w:t>For questions, call:</w:t>
      </w:r>
    </w:p>
    <w:p w:rsidR="00325F99" w:rsidRDefault="00325F99" w:rsidP="006E1339">
      <w:pPr>
        <w:rPr>
          <w:rFonts w:ascii="Arial" w:hAnsi="Arial" w:cs="Arial"/>
          <w:sz w:val="22"/>
          <w:szCs w:val="22"/>
        </w:rPr>
      </w:pPr>
      <w:r>
        <w:rPr>
          <w:rFonts w:ascii="Arial" w:hAnsi="Arial" w:cs="Arial"/>
          <w:sz w:val="22"/>
          <w:szCs w:val="22"/>
        </w:rPr>
        <w:t>Nick Nicholson, Chairperson GABB Forms Committee</w:t>
      </w:r>
    </w:p>
    <w:p w:rsidR="00325F99" w:rsidRPr="006E1339" w:rsidRDefault="00325F99" w:rsidP="006E1339">
      <w:pPr>
        <w:rPr>
          <w:rFonts w:ascii="Arial" w:hAnsi="Arial" w:cs="Arial"/>
          <w:sz w:val="22"/>
          <w:szCs w:val="22"/>
        </w:rPr>
      </w:pPr>
      <w:r>
        <w:rPr>
          <w:rFonts w:ascii="Arial" w:hAnsi="Arial" w:cs="Arial"/>
          <w:sz w:val="22"/>
          <w:szCs w:val="22"/>
        </w:rPr>
        <w:t>(404) 874-6262</w:t>
      </w:r>
    </w:p>
    <w:sectPr w:rsidR="00325F99" w:rsidRPr="006E1339" w:rsidSect="00325F9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EB" w:rsidRDefault="00DD40EB">
      <w:r>
        <w:separator/>
      </w:r>
    </w:p>
  </w:endnote>
  <w:endnote w:type="continuationSeparator" w:id="0">
    <w:p w:rsidR="00DD40EB" w:rsidRDefault="00DD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99" w:rsidRPr="0022075B" w:rsidRDefault="00325F99">
    <w:pPr>
      <w:pStyle w:val="Footer"/>
      <w:rPr>
        <w:sz w:val="18"/>
        <w:szCs w:val="18"/>
      </w:rPr>
    </w:pPr>
    <w:r>
      <w:tab/>
    </w:r>
    <w:r w:rsidRPr="0022075B">
      <w:rPr>
        <w:sz w:val="18"/>
        <w:szCs w:val="18"/>
      </w:rPr>
      <w:t xml:space="preserve">Page </w:t>
    </w:r>
    <w:r w:rsidR="004434C3" w:rsidRPr="0022075B">
      <w:rPr>
        <w:rStyle w:val="PageNumber"/>
        <w:sz w:val="18"/>
        <w:szCs w:val="18"/>
      </w:rPr>
      <w:fldChar w:fldCharType="begin"/>
    </w:r>
    <w:r w:rsidRPr="0022075B">
      <w:rPr>
        <w:rStyle w:val="PageNumber"/>
        <w:sz w:val="18"/>
        <w:szCs w:val="18"/>
      </w:rPr>
      <w:instrText xml:space="preserve"> PAGE </w:instrText>
    </w:r>
    <w:r w:rsidR="004434C3" w:rsidRPr="0022075B">
      <w:rPr>
        <w:rStyle w:val="PageNumber"/>
        <w:sz w:val="18"/>
        <w:szCs w:val="18"/>
      </w:rPr>
      <w:fldChar w:fldCharType="separate"/>
    </w:r>
    <w:r w:rsidR="00DD40EB">
      <w:rPr>
        <w:rStyle w:val="PageNumber"/>
        <w:noProof/>
        <w:sz w:val="18"/>
        <w:szCs w:val="18"/>
      </w:rPr>
      <w:t>1</w:t>
    </w:r>
    <w:r w:rsidR="004434C3" w:rsidRPr="0022075B">
      <w:rPr>
        <w:rStyle w:val="PageNumber"/>
        <w:sz w:val="18"/>
        <w:szCs w:val="18"/>
      </w:rPr>
      <w:fldChar w:fldCharType="end"/>
    </w:r>
    <w:r w:rsidRPr="0022075B">
      <w:rPr>
        <w:rStyle w:val="PageNumber"/>
        <w:sz w:val="18"/>
        <w:szCs w:val="18"/>
      </w:rPr>
      <w:t xml:space="preserve"> of </w:t>
    </w:r>
    <w:r w:rsidR="004434C3" w:rsidRPr="0022075B">
      <w:rPr>
        <w:rStyle w:val="PageNumber"/>
        <w:sz w:val="18"/>
        <w:szCs w:val="18"/>
      </w:rPr>
      <w:fldChar w:fldCharType="begin"/>
    </w:r>
    <w:r w:rsidRPr="0022075B">
      <w:rPr>
        <w:rStyle w:val="PageNumber"/>
        <w:sz w:val="18"/>
        <w:szCs w:val="18"/>
      </w:rPr>
      <w:instrText xml:space="preserve"> NUMPAGES </w:instrText>
    </w:r>
    <w:r w:rsidR="004434C3" w:rsidRPr="0022075B">
      <w:rPr>
        <w:rStyle w:val="PageNumber"/>
        <w:sz w:val="18"/>
        <w:szCs w:val="18"/>
      </w:rPr>
      <w:fldChar w:fldCharType="separate"/>
    </w:r>
    <w:r w:rsidR="00DD40EB">
      <w:rPr>
        <w:rStyle w:val="PageNumber"/>
        <w:noProof/>
        <w:sz w:val="18"/>
        <w:szCs w:val="18"/>
      </w:rPr>
      <w:t>1</w:t>
    </w:r>
    <w:r w:rsidR="004434C3" w:rsidRPr="0022075B">
      <w:rPr>
        <w:rStyle w:val="PageNumber"/>
        <w:sz w:val="18"/>
        <w:szCs w:val="18"/>
      </w:rPr>
      <w:fldChar w:fldCharType="end"/>
    </w:r>
    <w:r>
      <w:rPr>
        <w:rStyle w:val="PageNumber"/>
        <w:sz w:val="18"/>
        <w:szCs w:val="18"/>
      </w:rPr>
      <w:tab/>
    </w:r>
    <w:r w:rsidR="00DF2135">
      <w:rPr>
        <w:sz w:val="16"/>
      </w:rPr>
      <w:t>GABB Form G4010</w:t>
    </w:r>
    <w:r>
      <w:rPr>
        <w:sz w:val="16"/>
      </w:rPr>
      <w:t xml:space="preserve">, </w:t>
    </w:r>
    <w:r>
      <w:rPr>
        <w:rStyle w:val="PageNumber"/>
        <w:sz w:val="18"/>
        <w:szCs w:val="18"/>
      </w:rPr>
      <w:t>09/06/07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EB" w:rsidRDefault="00DD40EB">
      <w:r>
        <w:separator/>
      </w:r>
    </w:p>
  </w:footnote>
  <w:footnote w:type="continuationSeparator" w:id="0">
    <w:p w:rsidR="00DD40EB" w:rsidRDefault="00DD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501A"/>
    <w:multiLevelType w:val="hybridMultilevel"/>
    <w:tmpl w:val="703C341E"/>
    <w:lvl w:ilvl="0" w:tplc="F364E74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D064E2"/>
    <w:multiLevelType w:val="multilevel"/>
    <w:tmpl w:val="9AF8C010"/>
    <w:styleLink w:val="Style6"/>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1D627110"/>
    <w:multiLevelType w:val="multilevel"/>
    <w:tmpl w:val="9AF8C010"/>
    <w:styleLink w:val="Style2"/>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1FA40881"/>
    <w:multiLevelType w:val="multilevel"/>
    <w:tmpl w:val="9AF8C010"/>
    <w:styleLink w:val="Style4"/>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3791D25"/>
    <w:multiLevelType w:val="multilevel"/>
    <w:tmpl w:val="9AF8C010"/>
    <w:styleLink w:val="Style5"/>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24994383"/>
    <w:multiLevelType w:val="singleLevel"/>
    <w:tmpl w:val="1D9A23F8"/>
    <w:lvl w:ilvl="0">
      <w:start w:val="1"/>
      <w:numFmt w:val="decimal"/>
      <w:lvlText w:val="%1."/>
      <w:lvlJc w:val="left"/>
      <w:pPr>
        <w:tabs>
          <w:tab w:val="num" w:pos="360"/>
        </w:tabs>
      </w:pPr>
      <w:rPr>
        <w:rFonts w:ascii="Times New Roman" w:hAnsi="Times New Roman" w:cs="Times New Roman" w:hint="default"/>
        <w:b w:val="0"/>
        <w:i w:val="0"/>
        <w:sz w:val="20"/>
      </w:rPr>
    </w:lvl>
  </w:abstractNum>
  <w:abstractNum w:abstractNumId="6">
    <w:nsid w:val="370D327F"/>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A7C58A1"/>
    <w:multiLevelType w:val="multilevel"/>
    <w:tmpl w:val="9AF8C010"/>
    <w:styleLink w:val="Style3"/>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C3C0E32"/>
    <w:multiLevelType w:val="multilevel"/>
    <w:tmpl w:val="9AF8C010"/>
    <w:styleLink w:val="Style7"/>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C1F6AE2"/>
    <w:multiLevelType w:val="multilevel"/>
    <w:tmpl w:val="75222F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FE02560"/>
    <w:multiLevelType w:val="multilevel"/>
    <w:tmpl w:val="9AF8C010"/>
    <w:styleLink w:val="Style1"/>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7A682C2F"/>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2"/>
  </w:num>
  <w:num w:numId="3">
    <w:abstractNumId w:val="7"/>
  </w:num>
  <w:num w:numId="4">
    <w:abstractNumId w:val="3"/>
  </w:num>
  <w:num w:numId="5">
    <w:abstractNumId w:val="4"/>
  </w:num>
  <w:num w:numId="6">
    <w:abstractNumId w:val="1"/>
  </w:num>
  <w:num w:numId="7">
    <w:abstractNumId w:val="8"/>
  </w:num>
  <w:num w:numId="8">
    <w:abstractNumId w:val="6"/>
  </w:num>
  <w:num w:numId="9">
    <w:abstractNumId w:val="1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D"/>
    <w:rsid w:val="0000568F"/>
    <w:rsid w:val="000A6984"/>
    <w:rsid w:val="000D735A"/>
    <w:rsid w:val="000F1579"/>
    <w:rsid w:val="00111B92"/>
    <w:rsid w:val="00116470"/>
    <w:rsid w:val="001513A4"/>
    <w:rsid w:val="00161540"/>
    <w:rsid w:val="00176673"/>
    <w:rsid w:val="00181601"/>
    <w:rsid w:val="001B0855"/>
    <w:rsid w:val="001F439C"/>
    <w:rsid w:val="002029D8"/>
    <w:rsid w:val="002078D4"/>
    <w:rsid w:val="0022075B"/>
    <w:rsid w:val="0025272E"/>
    <w:rsid w:val="00286F19"/>
    <w:rsid w:val="00287BFE"/>
    <w:rsid w:val="002A25CB"/>
    <w:rsid w:val="002F783F"/>
    <w:rsid w:val="00321B7E"/>
    <w:rsid w:val="00325F99"/>
    <w:rsid w:val="0034388C"/>
    <w:rsid w:val="00352E17"/>
    <w:rsid w:val="00370547"/>
    <w:rsid w:val="0037085C"/>
    <w:rsid w:val="003879DD"/>
    <w:rsid w:val="003B2347"/>
    <w:rsid w:val="00410519"/>
    <w:rsid w:val="00432DA7"/>
    <w:rsid w:val="004434C3"/>
    <w:rsid w:val="00450F18"/>
    <w:rsid w:val="004607D3"/>
    <w:rsid w:val="0046293D"/>
    <w:rsid w:val="004838A3"/>
    <w:rsid w:val="004A0D71"/>
    <w:rsid w:val="004F4F2C"/>
    <w:rsid w:val="00502906"/>
    <w:rsid w:val="00570B67"/>
    <w:rsid w:val="00570F7F"/>
    <w:rsid w:val="005807A7"/>
    <w:rsid w:val="0058270A"/>
    <w:rsid w:val="00586895"/>
    <w:rsid w:val="005E3EC2"/>
    <w:rsid w:val="005E7A39"/>
    <w:rsid w:val="00614585"/>
    <w:rsid w:val="006312E8"/>
    <w:rsid w:val="006B494A"/>
    <w:rsid w:val="006C5A75"/>
    <w:rsid w:val="006D5CBA"/>
    <w:rsid w:val="006E1339"/>
    <w:rsid w:val="006F05BD"/>
    <w:rsid w:val="00786E10"/>
    <w:rsid w:val="007B7760"/>
    <w:rsid w:val="007D09FA"/>
    <w:rsid w:val="00800ED8"/>
    <w:rsid w:val="0080161A"/>
    <w:rsid w:val="0080696D"/>
    <w:rsid w:val="00815998"/>
    <w:rsid w:val="0084281B"/>
    <w:rsid w:val="008530A2"/>
    <w:rsid w:val="008B066A"/>
    <w:rsid w:val="008C6273"/>
    <w:rsid w:val="008D401A"/>
    <w:rsid w:val="00903A57"/>
    <w:rsid w:val="00962A93"/>
    <w:rsid w:val="009F540C"/>
    <w:rsid w:val="00A35B39"/>
    <w:rsid w:val="00A511FD"/>
    <w:rsid w:val="00A51B2E"/>
    <w:rsid w:val="00A7055D"/>
    <w:rsid w:val="00AC23F3"/>
    <w:rsid w:val="00AC3424"/>
    <w:rsid w:val="00B17AD0"/>
    <w:rsid w:val="00B229C8"/>
    <w:rsid w:val="00BB243A"/>
    <w:rsid w:val="00BC4232"/>
    <w:rsid w:val="00C01F2F"/>
    <w:rsid w:val="00C40CCF"/>
    <w:rsid w:val="00C60EE1"/>
    <w:rsid w:val="00C701A5"/>
    <w:rsid w:val="00C74B30"/>
    <w:rsid w:val="00C9110F"/>
    <w:rsid w:val="00CA0679"/>
    <w:rsid w:val="00CF3B35"/>
    <w:rsid w:val="00D02129"/>
    <w:rsid w:val="00D32691"/>
    <w:rsid w:val="00D412CE"/>
    <w:rsid w:val="00D55188"/>
    <w:rsid w:val="00DD40EB"/>
    <w:rsid w:val="00DF0ABC"/>
    <w:rsid w:val="00DF0BAB"/>
    <w:rsid w:val="00DF2135"/>
    <w:rsid w:val="00E46484"/>
    <w:rsid w:val="00E96F75"/>
    <w:rsid w:val="00EA2AE8"/>
    <w:rsid w:val="00EC23B9"/>
    <w:rsid w:val="00ED1A32"/>
    <w:rsid w:val="00EE5C8A"/>
    <w:rsid w:val="00F17AD6"/>
    <w:rsid w:val="00F439F0"/>
    <w:rsid w:val="00F65D08"/>
    <w:rsid w:val="00FD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E72D5-96B3-4F95-8A13-5DB63DA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4A"/>
    <w:rPr>
      <w:sz w:val="24"/>
      <w:szCs w:val="20"/>
    </w:rPr>
  </w:style>
  <w:style w:type="paragraph" w:styleId="Heading1">
    <w:name w:val="heading 1"/>
    <w:basedOn w:val="Normal"/>
    <w:next w:val="Normal"/>
    <w:link w:val="Heading1Char"/>
    <w:uiPriority w:val="99"/>
    <w:qFormat/>
    <w:rsid w:val="00C9110F"/>
    <w:pPr>
      <w:keepNext/>
      <w:spacing w:after="600"/>
      <w:jc w:val="center"/>
      <w:outlineLvl w:val="0"/>
    </w:pPr>
    <w:rPr>
      <w:rFonts w:cs="Arial"/>
      <w:b/>
      <w:bCs/>
      <w:kern w:val="32"/>
      <w:sz w:val="60"/>
      <w:szCs w:val="60"/>
    </w:rPr>
  </w:style>
  <w:style w:type="paragraph" w:styleId="Heading2">
    <w:name w:val="heading 2"/>
    <w:basedOn w:val="Normal"/>
    <w:next w:val="Normal"/>
    <w:link w:val="Heading2Char"/>
    <w:uiPriority w:val="99"/>
    <w:qFormat/>
    <w:rsid w:val="006E13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13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E1339"/>
    <w:pPr>
      <w:keepNext/>
      <w:spacing w:before="240" w:after="60"/>
      <w:outlineLvl w:val="3"/>
    </w:pPr>
    <w:rPr>
      <w:b/>
      <w:bCs/>
      <w:sz w:val="28"/>
      <w:szCs w:val="28"/>
    </w:rPr>
  </w:style>
  <w:style w:type="paragraph" w:styleId="Heading5">
    <w:name w:val="heading 5"/>
    <w:basedOn w:val="Normal"/>
    <w:next w:val="Normal"/>
    <w:link w:val="Heading5Char"/>
    <w:uiPriority w:val="99"/>
    <w:qFormat/>
    <w:rsid w:val="006E1339"/>
    <w:pPr>
      <w:spacing w:before="240" w:after="60"/>
      <w:outlineLvl w:val="4"/>
    </w:pPr>
    <w:rPr>
      <w:b/>
      <w:bCs/>
      <w:i/>
      <w:iCs/>
      <w:sz w:val="26"/>
      <w:szCs w:val="26"/>
    </w:rPr>
  </w:style>
  <w:style w:type="paragraph" w:styleId="Heading6">
    <w:name w:val="heading 6"/>
    <w:basedOn w:val="Normal"/>
    <w:next w:val="Normal"/>
    <w:link w:val="Heading6Char"/>
    <w:uiPriority w:val="99"/>
    <w:qFormat/>
    <w:rsid w:val="006E1339"/>
    <w:pPr>
      <w:spacing w:before="240" w:after="60"/>
      <w:outlineLvl w:val="5"/>
    </w:pPr>
    <w:rPr>
      <w:b/>
      <w:bCs/>
      <w:sz w:val="22"/>
      <w:szCs w:val="22"/>
    </w:rPr>
  </w:style>
  <w:style w:type="paragraph" w:styleId="Heading7">
    <w:name w:val="heading 7"/>
    <w:basedOn w:val="Normal"/>
    <w:next w:val="Normal"/>
    <w:link w:val="Heading7Char"/>
    <w:uiPriority w:val="99"/>
    <w:qFormat/>
    <w:rsid w:val="006E1339"/>
    <w:pPr>
      <w:spacing w:before="240" w:after="60"/>
      <w:outlineLvl w:val="6"/>
    </w:pPr>
    <w:rPr>
      <w:szCs w:val="24"/>
    </w:rPr>
  </w:style>
  <w:style w:type="paragraph" w:styleId="Heading8">
    <w:name w:val="heading 8"/>
    <w:basedOn w:val="Normal"/>
    <w:next w:val="Normal"/>
    <w:link w:val="Heading8Char"/>
    <w:uiPriority w:val="99"/>
    <w:qFormat/>
    <w:rsid w:val="006E1339"/>
    <w:pPr>
      <w:spacing w:before="240" w:after="60"/>
      <w:outlineLvl w:val="7"/>
    </w:pPr>
    <w:rPr>
      <w:i/>
      <w:iCs/>
      <w:szCs w:val="24"/>
    </w:rPr>
  </w:style>
  <w:style w:type="paragraph" w:styleId="Heading9">
    <w:name w:val="heading 9"/>
    <w:basedOn w:val="Normal"/>
    <w:next w:val="Normal"/>
    <w:link w:val="Heading9Char"/>
    <w:uiPriority w:val="99"/>
    <w:qFormat/>
    <w:rsid w:val="006E1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E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1E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1E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1E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1E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A1E6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A1E6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1E6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A1E6F"/>
    <w:rPr>
      <w:rFonts w:asciiTheme="majorHAnsi" w:eastAsiaTheme="majorEastAsia" w:hAnsiTheme="majorHAnsi" w:cstheme="majorBidi"/>
    </w:rPr>
  </w:style>
  <w:style w:type="paragraph" w:styleId="EnvelopeAddress">
    <w:name w:val="envelope address"/>
    <w:basedOn w:val="Normal"/>
    <w:uiPriority w:val="99"/>
    <w:rsid w:val="006B494A"/>
    <w:pPr>
      <w:framePr w:w="7920" w:h="1980" w:hRule="exact" w:hSpace="180" w:wrap="auto" w:hAnchor="page" w:xAlign="center" w:yAlign="bottom"/>
      <w:ind w:left="2880"/>
    </w:pPr>
    <w:rPr>
      <w:rFonts w:ascii="Arial" w:hAnsi="Arial"/>
      <w:caps/>
    </w:rPr>
  </w:style>
  <w:style w:type="paragraph" w:styleId="Footer">
    <w:name w:val="footer"/>
    <w:basedOn w:val="Normal"/>
    <w:link w:val="FooterChar"/>
    <w:uiPriority w:val="99"/>
    <w:rsid w:val="006B494A"/>
    <w:pPr>
      <w:tabs>
        <w:tab w:val="center" w:pos="4320"/>
        <w:tab w:val="right" w:pos="8640"/>
      </w:tabs>
    </w:pPr>
  </w:style>
  <w:style w:type="character" w:customStyle="1" w:styleId="FooterChar">
    <w:name w:val="Footer Char"/>
    <w:basedOn w:val="DefaultParagraphFont"/>
    <w:link w:val="Footer"/>
    <w:uiPriority w:val="99"/>
    <w:semiHidden/>
    <w:rsid w:val="00BA1E6F"/>
    <w:rPr>
      <w:sz w:val="24"/>
      <w:szCs w:val="20"/>
    </w:rPr>
  </w:style>
  <w:style w:type="paragraph" w:styleId="Header">
    <w:name w:val="header"/>
    <w:basedOn w:val="Normal"/>
    <w:link w:val="HeaderChar"/>
    <w:uiPriority w:val="99"/>
    <w:rsid w:val="006B494A"/>
    <w:pPr>
      <w:tabs>
        <w:tab w:val="center" w:pos="4320"/>
        <w:tab w:val="right" w:pos="8640"/>
      </w:tabs>
    </w:pPr>
  </w:style>
  <w:style w:type="character" w:customStyle="1" w:styleId="HeaderChar">
    <w:name w:val="Header Char"/>
    <w:basedOn w:val="DefaultParagraphFont"/>
    <w:link w:val="Header"/>
    <w:uiPriority w:val="99"/>
    <w:semiHidden/>
    <w:rsid w:val="00BA1E6F"/>
    <w:rPr>
      <w:sz w:val="24"/>
      <w:szCs w:val="20"/>
    </w:rPr>
  </w:style>
  <w:style w:type="paragraph" w:customStyle="1" w:styleId="Ltr15a">
    <w:name w:val="Ltr1.5a"/>
    <w:uiPriority w:val="99"/>
    <w:rsid w:val="006B494A"/>
    <w:pPr>
      <w:spacing w:after="480"/>
      <w:ind w:left="2160" w:right="2160"/>
    </w:pPr>
    <w:rPr>
      <w:rFonts w:ascii="Arial" w:hAnsi="Arial"/>
      <w:noProof/>
      <w:sz w:val="24"/>
      <w:szCs w:val="20"/>
    </w:rPr>
  </w:style>
  <w:style w:type="paragraph" w:customStyle="1" w:styleId="Ltr15Arial12body">
    <w:name w:val="Ltr1.5Arial12body"/>
    <w:uiPriority w:val="99"/>
    <w:rsid w:val="006B494A"/>
    <w:pPr>
      <w:spacing w:after="480"/>
      <w:ind w:left="720" w:right="720"/>
    </w:pPr>
    <w:rPr>
      <w:rFonts w:ascii="Arial" w:hAnsi="Arial"/>
      <w:noProof/>
      <w:sz w:val="24"/>
      <w:szCs w:val="20"/>
    </w:rPr>
  </w:style>
  <w:style w:type="character" w:styleId="PageNumber">
    <w:name w:val="page number"/>
    <w:basedOn w:val="DefaultParagraphFont"/>
    <w:uiPriority w:val="99"/>
    <w:rsid w:val="0022075B"/>
    <w:rPr>
      <w:rFonts w:cs="Times New Roman"/>
    </w:rPr>
  </w:style>
  <w:style w:type="character" w:styleId="CommentReference">
    <w:name w:val="annotation reference"/>
    <w:basedOn w:val="DefaultParagraphFont"/>
    <w:uiPriority w:val="99"/>
    <w:semiHidden/>
    <w:rsid w:val="00287BFE"/>
    <w:rPr>
      <w:rFonts w:cs="Times New Roman"/>
      <w:sz w:val="16"/>
      <w:szCs w:val="16"/>
    </w:rPr>
  </w:style>
  <w:style w:type="paragraph" w:styleId="CommentText">
    <w:name w:val="annotation text"/>
    <w:basedOn w:val="Normal"/>
    <w:link w:val="CommentTextChar"/>
    <w:uiPriority w:val="99"/>
    <w:semiHidden/>
    <w:rsid w:val="00287BFE"/>
    <w:rPr>
      <w:sz w:val="20"/>
    </w:rPr>
  </w:style>
  <w:style w:type="character" w:customStyle="1" w:styleId="CommentTextChar">
    <w:name w:val="Comment Text Char"/>
    <w:basedOn w:val="DefaultParagraphFont"/>
    <w:link w:val="CommentText"/>
    <w:uiPriority w:val="99"/>
    <w:semiHidden/>
    <w:rsid w:val="00BA1E6F"/>
    <w:rPr>
      <w:sz w:val="20"/>
      <w:szCs w:val="20"/>
    </w:rPr>
  </w:style>
  <w:style w:type="paragraph" w:styleId="CommentSubject">
    <w:name w:val="annotation subject"/>
    <w:basedOn w:val="CommentText"/>
    <w:next w:val="CommentText"/>
    <w:link w:val="CommentSubjectChar"/>
    <w:uiPriority w:val="99"/>
    <w:semiHidden/>
    <w:rsid w:val="00287BFE"/>
    <w:rPr>
      <w:b/>
      <w:bCs/>
    </w:rPr>
  </w:style>
  <w:style w:type="character" w:customStyle="1" w:styleId="CommentSubjectChar">
    <w:name w:val="Comment Subject Char"/>
    <w:basedOn w:val="CommentTextChar"/>
    <w:link w:val="CommentSubject"/>
    <w:uiPriority w:val="99"/>
    <w:semiHidden/>
    <w:rsid w:val="00BA1E6F"/>
    <w:rPr>
      <w:b/>
      <w:bCs/>
      <w:sz w:val="20"/>
      <w:szCs w:val="20"/>
    </w:rPr>
  </w:style>
  <w:style w:type="paragraph" w:styleId="BalloonText">
    <w:name w:val="Balloon Text"/>
    <w:basedOn w:val="Normal"/>
    <w:link w:val="BalloonTextChar"/>
    <w:uiPriority w:val="99"/>
    <w:semiHidden/>
    <w:rsid w:val="00287BFE"/>
    <w:rPr>
      <w:rFonts w:ascii="Tahoma" w:hAnsi="Tahoma" w:cs="Tahoma"/>
      <w:sz w:val="16"/>
      <w:szCs w:val="16"/>
    </w:rPr>
  </w:style>
  <w:style w:type="character" w:customStyle="1" w:styleId="BalloonTextChar">
    <w:name w:val="Balloon Text Char"/>
    <w:basedOn w:val="DefaultParagraphFont"/>
    <w:link w:val="BalloonText"/>
    <w:uiPriority w:val="99"/>
    <w:semiHidden/>
    <w:rsid w:val="00BA1E6F"/>
    <w:rPr>
      <w:sz w:val="0"/>
      <w:szCs w:val="0"/>
    </w:rPr>
  </w:style>
  <w:style w:type="numbering" w:customStyle="1" w:styleId="Style6">
    <w:name w:val="Style6"/>
    <w:rsid w:val="00BA1E6F"/>
    <w:pPr>
      <w:numPr>
        <w:numId w:val="6"/>
      </w:numPr>
    </w:pPr>
  </w:style>
  <w:style w:type="numbering" w:customStyle="1" w:styleId="Style2">
    <w:name w:val="Style2"/>
    <w:rsid w:val="00BA1E6F"/>
    <w:pPr>
      <w:numPr>
        <w:numId w:val="2"/>
      </w:numPr>
    </w:pPr>
  </w:style>
  <w:style w:type="numbering" w:customStyle="1" w:styleId="Style4">
    <w:name w:val="Style4"/>
    <w:rsid w:val="00BA1E6F"/>
    <w:pPr>
      <w:numPr>
        <w:numId w:val="4"/>
      </w:numPr>
    </w:pPr>
  </w:style>
  <w:style w:type="numbering" w:customStyle="1" w:styleId="Style5">
    <w:name w:val="Style5"/>
    <w:rsid w:val="00BA1E6F"/>
    <w:pPr>
      <w:numPr>
        <w:numId w:val="5"/>
      </w:numPr>
    </w:pPr>
  </w:style>
  <w:style w:type="numbering" w:customStyle="1" w:styleId="Style3">
    <w:name w:val="Style3"/>
    <w:rsid w:val="00BA1E6F"/>
    <w:pPr>
      <w:numPr>
        <w:numId w:val="3"/>
      </w:numPr>
    </w:pPr>
  </w:style>
  <w:style w:type="numbering" w:customStyle="1" w:styleId="Style7">
    <w:name w:val="Style7"/>
    <w:rsid w:val="00BA1E6F"/>
    <w:pPr>
      <w:numPr>
        <w:numId w:val="7"/>
      </w:numPr>
    </w:pPr>
  </w:style>
  <w:style w:type="numbering" w:customStyle="1" w:styleId="Style1">
    <w:name w:val="Style1"/>
    <w:rsid w:val="00BA1E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LOI Instructions</vt:lpstr>
    </vt:vector>
  </TitlesOfParts>
  <Company>Nicholson &amp; Associates, Inc.</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Instructions</dc:title>
  <dc:subject>Inportant Info for Using the LOI</dc:subject>
  <dc:creator>Nick Nicholson/Germaine Curtin</dc:creator>
  <cp:keywords/>
  <dc:description>The LOI contains some blanks and also text that the broker/agent should understand.  These instructions provide guidance in this area.</dc:description>
  <cp:lastModifiedBy>Art</cp:lastModifiedBy>
  <cp:revision>2</cp:revision>
  <dcterms:created xsi:type="dcterms:W3CDTF">2014-01-13T23:27:00Z</dcterms:created>
  <dcterms:modified xsi:type="dcterms:W3CDTF">2014-01-13T23:27:00Z</dcterms:modified>
</cp:coreProperties>
</file>